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2079F" w14:textId="77777777" w:rsidR="00E42D8C" w:rsidRPr="006C381A" w:rsidRDefault="00E42D8C" w:rsidP="00E42D8C">
      <w:pPr>
        <w:jc w:val="center"/>
        <w:rPr>
          <w:sz w:val="44"/>
          <w:szCs w:val="44"/>
          <w:u w:val="single"/>
        </w:rPr>
      </w:pPr>
      <w:r w:rsidRPr="006C381A">
        <w:rPr>
          <w:sz w:val="44"/>
          <w:szCs w:val="44"/>
          <w:u w:val="single"/>
        </w:rPr>
        <w:t>Safeguarding Policy</w:t>
      </w:r>
    </w:p>
    <w:p w14:paraId="6E3B2245" w14:textId="77777777" w:rsidR="00E42D8C" w:rsidRDefault="00E42D8C" w:rsidP="00E42D8C">
      <w:pPr>
        <w:jc w:val="both"/>
      </w:pPr>
    </w:p>
    <w:p w14:paraId="6D9EA427" w14:textId="11F7B980" w:rsidR="00E42D8C" w:rsidRPr="00B9044B" w:rsidRDefault="00E42D8C" w:rsidP="00E42D8C">
      <w:pPr>
        <w:jc w:val="both"/>
        <w:rPr>
          <w:sz w:val="24"/>
          <w:szCs w:val="24"/>
        </w:rPr>
      </w:pPr>
      <w:r>
        <w:rPr>
          <w:sz w:val="24"/>
          <w:szCs w:val="24"/>
        </w:rPr>
        <w:t xml:space="preserve">At Freedom Counselling, </w:t>
      </w:r>
      <w:r w:rsidR="00CD24AF">
        <w:rPr>
          <w:sz w:val="24"/>
          <w:szCs w:val="24"/>
        </w:rPr>
        <w:t>I</w:t>
      </w:r>
      <w:r>
        <w:rPr>
          <w:sz w:val="24"/>
          <w:szCs w:val="24"/>
        </w:rPr>
        <w:t xml:space="preserve"> will do everything </w:t>
      </w:r>
      <w:r w:rsidR="00CD24AF">
        <w:rPr>
          <w:sz w:val="24"/>
          <w:szCs w:val="24"/>
        </w:rPr>
        <w:t>I</w:t>
      </w:r>
      <w:r>
        <w:rPr>
          <w:sz w:val="24"/>
          <w:szCs w:val="24"/>
        </w:rPr>
        <w:t xml:space="preserve"> can to develop and protect our clients</w:t>
      </w:r>
      <w:r w:rsidR="00CD24AF">
        <w:rPr>
          <w:sz w:val="24"/>
          <w:szCs w:val="24"/>
        </w:rPr>
        <w:t>’</w:t>
      </w:r>
      <w:r>
        <w:rPr>
          <w:sz w:val="24"/>
          <w:szCs w:val="24"/>
        </w:rPr>
        <w:t xml:space="preserve"> trust. </w:t>
      </w:r>
      <w:r w:rsidR="00CD24AF">
        <w:rPr>
          <w:sz w:val="24"/>
          <w:szCs w:val="24"/>
        </w:rPr>
        <w:t>I</w:t>
      </w:r>
      <w:r>
        <w:rPr>
          <w:sz w:val="24"/>
          <w:szCs w:val="24"/>
        </w:rPr>
        <w:t xml:space="preserve"> will make each client the primary focus of </w:t>
      </w:r>
      <w:r w:rsidR="00CD24AF">
        <w:rPr>
          <w:sz w:val="24"/>
          <w:szCs w:val="24"/>
        </w:rPr>
        <w:t>my</w:t>
      </w:r>
      <w:r>
        <w:rPr>
          <w:sz w:val="24"/>
          <w:szCs w:val="24"/>
        </w:rPr>
        <w:t xml:space="preserve"> attention and </w:t>
      </w:r>
      <w:r w:rsidR="00AB414F">
        <w:rPr>
          <w:sz w:val="24"/>
          <w:szCs w:val="24"/>
        </w:rPr>
        <w:t>my</w:t>
      </w:r>
      <w:r>
        <w:rPr>
          <w:sz w:val="24"/>
          <w:szCs w:val="24"/>
        </w:rPr>
        <w:t xml:space="preserve"> work during our sessions together. However</w:t>
      </w:r>
      <w:r w:rsidRPr="00B9044B">
        <w:rPr>
          <w:sz w:val="24"/>
          <w:szCs w:val="24"/>
        </w:rPr>
        <w:t>:</w:t>
      </w:r>
    </w:p>
    <w:p w14:paraId="7A0C6C5E" w14:textId="77777777" w:rsidR="00E42D8C" w:rsidRPr="00B9044B" w:rsidRDefault="00E42D8C" w:rsidP="00E42D8C">
      <w:pPr>
        <w:pStyle w:val="ListParagraph"/>
        <w:numPr>
          <w:ilvl w:val="0"/>
          <w:numId w:val="2"/>
        </w:numPr>
        <w:spacing w:before="240"/>
        <w:jc w:val="both"/>
        <w:rPr>
          <w:sz w:val="24"/>
          <w:szCs w:val="24"/>
        </w:rPr>
      </w:pPr>
      <w:r>
        <w:rPr>
          <w:sz w:val="24"/>
          <w:szCs w:val="24"/>
        </w:rPr>
        <w:t>Any professional or personal interests that conflict with putting a client’s interests first will be carefully considered in consultation with a supervisor, and independent experienced colleague or, when appropriate, discussed with the client affected before services are offered</w:t>
      </w:r>
    </w:p>
    <w:p w14:paraId="49A64A42" w14:textId="77777777" w:rsidR="00E42D8C" w:rsidRPr="00B9044B" w:rsidRDefault="00E42D8C" w:rsidP="00E42D8C">
      <w:pPr>
        <w:pStyle w:val="ListParagraph"/>
        <w:jc w:val="both"/>
        <w:rPr>
          <w:sz w:val="24"/>
          <w:szCs w:val="24"/>
        </w:rPr>
      </w:pPr>
    </w:p>
    <w:p w14:paraId="0B7BA66A" w14:textId="5E1BC029" w:rsidR="00E42D8C" w:rsidRPr="00B9044B" w:rsidRDefault="00AB414F" w:rsidP="00E42D8C">
      <w:pPr>
        <w:pStyle w:val="ListParagraph"/>
        <w:numPr>
          <w:ilvl w:val="0"/>
          <w:numId w:val="2"/>
        </w:numPr>
        <w:spacing w:after="0"/>
        <w:jc w:val="both"/>
        <w:rPr>
          <w:sz w:val="24"/>
          <w:szCs w:val="24"/>
        </w:rPr>
      </w:pPr>
      <w:r>
        <w:rPr>
          <w:sz w:val="24"/>
          <w:szCs w:val="24"/>
        </w:rPr>
        <w:t>I</w:t>
      </w:r>
      <w:r w:rsidR="00E42D8C">
        <w:rPr>
          <w:sz w:val="24"/>
          <w:szCs w:val="24"/>
        </w:rPr>
        <w:t xml:space="preserve"> will </w:t>
      </w:r>
      <w:proofErr w:type="gramStart"/>
      <w:r w:rsidR="00E42D8C">
        <w:rPr>
          <w:sz w:val="24"/>
          <w:szCs w:val="24"/>
        </w:rPr>
        <w:t>give careful consideration to</w:t>
      </w:r>
      <w:proofErr w:type="gramEnd"/>
      <w:r w:rsidR="00E42D8C">
        <w:rPr>
          <w:sz w:val="24"/>
          <w:szCs w:val="24"/>
        </w:rPr>
        <w:t xml:space="preserve"> how </w:t>
      </w:r>
      <w:r>
        <w:rPr>
          <w:sz w:val="24"/>
          <w:szCs w:val="24"/>
        </w:rPr>
        <w:t>I</w:t>
      </w:r>
      <w:r w:rsidR="00E42D8C">
        <w:rPr>
          <w:sz w:val="24"/>
          <w:szCs w:val="24"/>
        </w:rPr>
        <w:t xml:space="preserve"> manage situations when protecting clients or others from serious harm or when compliance with the law may require overriding a client’s explicit wishes or breaching their confidentiality</w:t>
      </w:r>
    </w:p>
    <w:p w14:paraId="21ABDB38" w14:textId="77777777" w:rsidR="00E42D8C" w:rsidRPr="00B9044B" w:rsidRDefault="00E42D8C" w:rsidP="00E42D8C">
      <w:pPr>
        <w:spacing w:after="0" w:line="240" w:lineRule="auto"/>
        <w:jc w:val="both"/>
        <w:rPr>
          <w:sz w:val="24"/>
          <w:szCs w:val="24"/>
        </w:rPr>
      </w:pPr>
    </w:p>
    <w:p w14:paraId="5905BB59" w14:textId="533F96CA" w:rsidR="00E42D8C" w:rsidRPr="00B9044B" w:rsidRDefault="00E42D8C" w:rsidP="00E42D8C">
      <w:pPr>
        <w:pStyle w:val="ListParagraph"/>
        <w:numPr>
          <w:ilvl w:val="0"/>
          <w:numId w:val="2"/>
        </w:numPr>
        <w:jc w:val="both"/>
        <w:rPr>
          <w:sz w:val="24"/>
          <w:szCs w:val="24"/>
        </w:rPr>
      </w:pPr>
      <w:r>
        <w:rPr>
          <w:sz w:val="24"/>
          <w:szCs w:val="24"/>
        </w:rPr>
        <w:t>In exceptional circumstances, the need to safeguard</w:t>
      </w:r>
      <w:r w:rsidR="00BB758D">
        <w:rPr>
          <w:sz w:val="24"/>
          <w:szCs w:val="24"/>
        </w:rPr>
        <w:t xml:space="preserve"> </w:t>
      </w:r>
      <w:r>
        <w:rPr>
          <w:sz w:val="24"/>
          <w:szCs w:val="24"/>
        </w:rPr>
        <w:t xml:space="preserve">clients or others from serious harm may require </w:t>
      </w:r>
      <w:r w:rsidR="00BB758D">
        <w:rPr>
          <w:sz w:val="24"/>
          <w:szCs w:val="24"/>
        </w:rPr>
        <w:t>me</w:t>
      </w:r>
      <w:r>
        <w:rPr>
          <w:sz w:val="24"/>
          <w:szCs w:val="24"/>
        </w:rPr>
        <w:t xml:space="preserve"> to override </w:t>
      </w:r>
      <w:r w:rsidR="00BB758D">
        <w:rPr>
          <w:sz w:val="24"/>
          <w:szCs w:val="24"/>
        </w:rPr>
        <w:t>my</w:t>
      </w:r>
      <w:r>
        <w:rPr>
          <w:sz w:val="24"/>
          <w:szCs w:val="24"/>
        </w:rPr>
        <w:t xml:space="preserve"> commitment to making </w:t>
      </w:r>
      <w:r w:rsidR="00BB758D">
        <w:rPr>
          <w:sz w:val="24"/>
          <w:szCs w:val="24"/>
        </w:rPr>
        <w:t>my</w:t>
      </w:r>
      <w:r>
        <w:rPr>
          <w:sz w:val="24"/>
          <w:szCs w:val="24"/>
        </w:rPr>
        <w:t xml:space="preserve"> client’s wishes and confidentiality </w:t>
      </w:r>
      <w:r w:rsidR="00BB758D">
        <w:rPr>
          <w:sz w:val="24"/>
          <w:szCs w:val="24"/>
        </w:rPr>
        <w:t>my</w:t>
      </w:r>
      <w:r>
        <w:rPr>
          <w:sz w:val="24"/>
          <w:szCs w:val="24"/>
        </w:rPr>
        <w:t xml:space="preserve"> primary concern. </w:t>
      </w:r>
      <w:r w:rsidR="007F4656">
        <w:rPr>
          <w:sz w:val="24"/>
          <w:szCs w:val="24"/>
        </w:rPr>
        <w:t>I</w:t>
      </w:r>
      <w:r>
        <w:rPr>
          <w:sz w:val="24"/>
          <w:szCs w:val="24"/>
        </w:rPr>
        <w:t xml:space="preserve"> may need to act in ways that will support any investigations or actions necessary to prevent serious harm to </w:t>
      </w:r>
      <w:r w:rsidR="007F4656">
        <w:rPr>
          <w:sz w:val="24"/>
          <w:szCs w:val="24"/>
        </w:rPr>
        <w:t>my</w:t>
      </w:r>
      <w:r>
        <w:rPr>
          <w:sz w:val="24"/>
          <w:szCs w:val="24"/>
        </w:rPr>
        <w:t xml:space="preserve"> clients o</w:t>
      </w:r>
      <w:r w:rsidR="007F4656">
        <w:rPr>
          <w:sz w:val="24"/>
          <w:szCs w:val="24"/>
        </w:rPr>
        <w:t>r</w:t>
      </w:r>
      <w:r>
        <w:rPr>
          <w:sz w:val="24"/>
          <w:szCs w:val="24"/>
        </w:rPr>
        <w:t xml:space="preserve"> others. In such circumstances, </w:t>
      </w:r>
      <w:r w:rsidR="007F4656">
        <w:rPr>
          <w:sz w:val="24"/>
          <w:szCs w:val="24"/>
        </w:rPr>
        <w:t>I</w:t>
      </w:r>
      <w:r>
        <w:rPr>
          <w:sz w:val="24"/>
          <w:szCs w:val="24"/>
        </w:rPr>
        <w:t xml:space="preserve"> will do </w:t>
      </w:r>
      <w:r w:rsidR="007F4656">
        <w:rPr>
          <w:sz w:val="24"/>
          <w:szCs w:val="24"/>
        </w:rPr>
        <w:t>my</w:t>
      </w:r>
      <w:r>
        <w:rPr>
          <w:sz w:val="24"/>
          <w:szCs w:val="24"/>
        </w:rPr>
        <w:t xml:space="preserve"> best to respect the parts of </w:t>
      </w:r>
      <w:r w:rsidR="007F4656">
        <w:rPr>
          <w:sz w:val="24"/>
          <w:szCs w:val="24"/>
        </w:rPr>
        <w:t>my</w:t>
      </w:r>
      <w:r>
        <w:rPr>
          <w:sz w:val="24"/>
          <w:szCs w:val="24"/>
        </w:rPr>
        <w:t xml:space="preserve"> client’s wishes or confidences that do not need to be overridden </w:t>
      </w:r>
      <w:proofErr w:type="gramStart"/>
      <w:r>
        <w:rPr>
          <w:sz w:val="24"/>
          <w:szCs w:val="24"/>
        </w:rPr>
        <w:t>in order to</w:t>
      </w:r>
      <w:proofErr w:type="gramEnd"/>
      <w:r>
        <w:rPr>
          <w:sz w:val="24"/>
          <w:szCs w:val="24"/>
        </w:rPr>
        <w:t xml:space="preserve"> prevent serious harm</w:t>
      </w:r>
    </w:p>
    <w:p w14:paraId="4BF13486" w14:textId="77777777" w:rsidR="00E42D8C" w:rsidRPr="00B9044B" w:rsidRDefault="00E42D8C" w:rsidP="00E42D8C">
      <w:pPr>
        <w:pStyle w:val="ListParagraph"/>
        <w:rPr>
          <w:sz w:val="24"/>
          <w:szCs w:val="24"/>
        </w:rPr>
      </w:pPr>
    </w:p>
    <w:p w14:paraId="7F78E7CB" w14:textId="21AEE90C" w:rsidR="00E42D8C" w:rsidRDefault="007F4656" w:rsidP="00E42D8C">
      <w:pPr>
        <w:pStyle w:val="ListParagraph"/>
        <w:numPr>
          <w:ilvl w:val="0"/>
          <w:numId w:val="2"/>
        </w:numPr>
        <w:jc w:val="both"/>
        <w:rPr>
          <w:sz w:val="24"/>
          <w:szCs w:val="24"/>
        </w:rPr>
      </w:pPr>
      <w:r>
        <w:rPr>
          <w:sz w:val="24"/>
          <w:szCs w:val="24"/>
        </w:rPr>
        <w:t>I</w:t>
      </w:r>
      <w:r w:rsidR="00E42D8C">
        <w:rPr>
          <w:sz w:val="24"/>
          <w:szCs w:val="24"/>
        </w:rPr>
        <w:t xml:space="preserve"> share a responsibility with all other members of our professions for the safety and wellbeing of all clients and their protection from exploitation or unsafe practice. </w:t>
      </w:r>
      <w:r>
        <w:rPr>
          <w:sz w:val="24"/>
          <w:szCs w:val="24"/>
        </w:rPr>
        <w:t>I</w:t>
      </w:r>
      <w:r w:rsidR="00E42D8C">
        <w:rPr>
          <w:sz w:val="24"/>
          <w:szCs w:val="24"/>
        </w:rPr>
        <w:t xml:space="preserve"> will take action to prevent harm caused by practitioners to any client</w:t>
      </w:r>
    </w:p>
    <w:p w14:paraId="1F768166" w14:textId="77777777" w:rsidR="00E42D8C" w:rsidRPr="00035E88" w:rsidRDefault="00E42D8C" w:rsidP="00035E88">
      <w:pPr>
        <w:jc w:val="both"/>
        <w:rPr>
          <w:sz w:val="24"/>
          <w:szCs w:val="24"/>
        </w:rPr>
      </w:pPr>
    </w:p>
    <w:p w14:paraId="204EF987" w14:textId="77777777" w:rsidR="00E42D8C" w:rsidRDefault="00E42D8C" w:rsidP="00E42D8C">
      <w:pPr>
        <w:jc w:val="both"/>
        <w:rPr>
          <w:sz w:val="24"/>
          <w:szCs w:val="24"/>
        </w:rPr>
      </w:pPr>
      <w:r>
        <w:rPr>
          <w:sz w:val="24"/>
          <w:szCs w:val="24"/>
        </w:rPr>
        <w:t>Circumstances that may override client confidentiality:</w:t>
      </w:r>
    </w:p>
    <w:p w14:paraId="10C770DC" w14:textId="77777777" w:rsidR="00E42D8C" w:rsidRDefault="00E42D8C" w:rsidP="00E42D8C">
      <w:pPr>
        <w:pStyle w:val="ListParagraph"/>
        <w:numPr>
          <w:ilvl w:val="0"/>
          <w:numId w:val="3"/>
        </w:numPr>
        <w:jc w:val="both"/>
        <w:rPr>
          <w:sz w:val="24"/>
          <w:szCs w:val="24"/>
        </w:rPr>
      </w:pPr>
      <w:r>
        <w:rPr>
          <w:sz w:val="24"/>
          <w:szCs w:val="24"/>
        </w:rPr>
        <w:t xml:space="preserve">Crime – It is defensible to breach confidence, in good faith, </w:t>
      </w:r>
      <w:proofErr w:type="gramStart"/>
      <w:r>
        <w:rPr>
          <w:sz w:val="24"/>
          <w:szCs w:val="24"/>
        </w:rPr>
        <w:t>in order to</w:t>
      </w:r>
      <w:proofErr w:type="gramEnd"/>
      <w:r>
        <w:rPr>
          <w:sz w:val="24"/>
          <w:szCs w:val="24"/>
        </w:rPr>
        <w:t xml:space="preserve"> assist the prevention or detection of a crime. However, there is no general duty to report crime except in specific circumstances. There is also no general obligation to answer police questions about a client. A polite refusal on the grounds of confidentiality is sufficient if this is considered appropriate, but deliberately giving misleading information is likely to constitute an offence</w:t>
      </w:r>
    </w:p>
    <w:p w14:paraId="4E415FF8" w14:textId="77777777" w:rsidR="00E42D8C" w:rsidRDefault="00E42D8C" w:rsidP="00E42D8C">
      <w:pPr>
        <w:pStyle w:val="ListParagraph"/>
        <w:jc w:val="both"/>
        <w:rPr>
          <w:sz w:val="24"/>
          <w:szCs w:val="24"/>
        </w:rPr>
      </w:pPr>
    </w:p>
    <w:p w14:paraId="3580A63C" w14:textId="77777777" w:rsidR="0029066C" w:rsidRDefault="00E42D8C" w:rsidP="00E42D8C">
      <w:pPr>
        <w:pStyle w:val="ListParagraph"/>
        <w:numPr>
          <w:ilvl w:val="0"/>
          <w:numId w:val="3"/>
        </w:numPr>
        <w:jc w:val="both"/>
        <w:rPr>
          <w:sz w:val="24"/>
          <w:szCs w:val="24"/>
        </w:rPr>
        <w:sectPr w:rsidR="0029066C" w:rsidSect="00145867">
          <w:headerReference w:type="default" r:id="rId7"/>
          <w:footerReference w:type="default" r:id="rId8"/>
          <w:footerReference w:type="first" r:id="rId9"/>
          <w:pgSz w:w="11906" w:h="16838"/>
          <w:pgMar w:top="2127" w:right="1440" w:bottom="1440" w:left="1440" w:header="1020" w:footer="0" w:gutter="0"/>
          <w:cols w:space="708"/>
          <w:docGrid w:linePitch="360"/>
        </w:sectPr>
      </w:pPr>
      <w:r>
        <w:rPr>
          <w:sz w:val="24"/>
          <w:szCs w:val="24"/>
        </w:rPr>
        <w:t xml:space="preserve">Prevention of serious harm to client or to others – The Department of Health offers the following guidance on what counts as serious crime. ‘Murder, manslaughter, rape, treason, kidnapping, child abuse or other cases where individuals have </w:t>
      </w:r>
    </w:p>
    <w:p w14:paraId="3D0B81D7" w14:textId="31B67F26" w:rsidR="00E42D8C" w:rsidRDefault="00E42D8C" w:rsidP="00E36BE2">
      <w:pPr>
        <w:pStyle w:val="ListParagraph"/>
        <w:jc w:val="both"/>
        <w:rPr>
          <w:sz w:val="24"/>
          <w:szCs w:val="24"/>
        </w:rPr>
      </w:pPr>
      <w:r>
        <w:rPr>
          <w:sz w:val="24"/>
          <w:szCs w:val="24"/>
        </w:rPr>
        <w:lastRenderedPageBreak/>
        <w:t xml:space="preserve">suffered serious harm to the security of the state or to public order and crimes that involve substantial financial </w:t>
      </w:r>
      <w:proofErr w:type="gramStart"/>
      <w:r>
        <w:rPr>
          <w:sz w:val="24"/>
          <w:szCs w:val="24"/>
        </w:rPr>
        <w:t>gain</w:t>
      </w:r>
      <w:proofErr w:type="gramEnd"/>
      <w:r>
        <w:rPr>
          <w:sz w:val="24"/>
          <w:szCs w:val="24"/>
        </w:rPr>
        <w:t xml:space="preserve"> and loss will generally fall within this category</w:t>
      </w:r>
    </w:p>
    <w:p w14:paraId="7D80D949" w14:textId="77777777" w:rsidR="00E42D8C" w:rsidRPr="00E60367" w:rsidRDefault="00E42D8C" w:rsidP="00E42D8C">
      <w:pPr>
        <w:spacing w:after="0"/>
        <w:jc w:val="both"/>
        <w:rPr>
          <w:sz w:val="24"/>
          <w:szCs w:val="24"/>
        </w:rPr>
      </w:pPr>
    </w:p>
    <w:p w14:paraId="531CD0F6" w14:textId="77777777" w:rsidR="00E42D8C" w:rsidRDefault="00E42D8C" w:rsidP="00E42D8C">
      <w:pPr>
        <w:pStyle w:val="ListParagraph"/>
        <w:numPr>
          <w:ilvl w:val="0"/>
          <w:numId w:val="3"/>
        </w:numPr>
        <w:jc w:val="both"/>
        <w:rPr>
          <w:sz w:val="24"/>
          <w:szCs w:val="24"/>
        </w:rPr>
      </w:pPr>
      <w:r>
        <w:rPr>
          <w:sz w:val="24"/>
          <w:szCs w:val="24"/>
        </w:rPr>
        <w:t>Statutory obligations to disclose – The Terrorism Act 2000 makes it a criminal offence for a person to fail to disclose, without reasonable excuse, any information which (s)he either knows or believes might help prevent another person carrying out an act of terrorism or might help in bringing a terrorist to justice in the UK</w:t>
      </w:r>
    </w:p>
    <w:p w14:paraId="1389488F" w14:textId="77777777" w:rsidR="00E42D8C" w:rsidRPr="002275A3" w:rsidRDefault="00E42D8C" w:rsidP="00E42D8C">
      <w:pPr>
        <w:pStyle w:val="ListParagraph"/>
        <w:rPr>
          <w:sz w:val="24"/>
          <w:szCs w:val="24"/>
        </w:rPr>
      </w:pPr>
    </w:p>
    <w:p w14:paraId="14B14B9A" w14:textId="49F27953" w:rsidR="00E42D8C" w:rsidRDefault="00E42D8C" w:rsidP="00E42D8C">
      <w:pPr>
        <w:pStyle w:val="ListParagraph"/>
        <w:numPr>
          <w:ilvl w:val="0"/>
          <w:numId w:val="3"/>
        </w:numPr>
        <w:jc w:val="both"/>
        <w:rPr>
          <w:sz w:val="24"/>
          <w:szCs w:val="24"/>
        </w:rPr>
      </w:pPr>
      <w:r>
        <w:rPr>
          <w:sz w:val="24"/>
          <w:szCs w:val="24"/>
        </w:rPr>
        <w:t xml:space="preserve">Court orders – A court may order </w:t>
      </w:r>
      <w:proofErr w:type="gramStart"/>
      <w:r>
        <w:rPr>
          <w:sz w:val="24"/>
          <w:szCs w:val="24"/>
        </w:rPr>
        <w:t>disclosure, or</w:t>
      </w:r>
      <w:proofErr w:type="gramEnd"/>
      <w:r>
        <w:rPr>
          <w:sz w:val="24"/>
          <w:szCs w:val="24"/>
        </w:rPr>
        <w:t xml:space="preserve"> order </w:t>
      </w:r>
      <w:r w:rsidR="00117A25">
        <w:rPr>
          <w:sz w:val="24"/>
          <w:szCs w:val="24"/>
        </w:rPr>
        <w:t>a</w:t>
      </w:r>
      <w:r>
        <w:rPr>
          <w:sz w:val="24"/>
          <w:szCs w:val="24"/>
        </w:rPr>
        <w:t xml:space="preserve"> Counsellor to attend court and to bring notes and records with them. Refusal to answer the questions of the court may constitute contempt of the court. The Counsellor may be asked to produce a report for court relating to work with a client. Consent should be obtained direct from the client wherever possible and in writing. Clients may ask to see the reports written about them, and in accordance with the legislation on Human Rights, GDPR, Freedom of Information</w:t>
      </w:r>
      <w:r w:rsidR="0045143D">
        <w:rPr>
          <w:sz w:val="24"/>
          <w:szCs w:val="24"/>
        </w:rPr>
        <w:t xml:space="preserve"> </w:t>
      </w:r>
      <w:r>
        <w:rPr>
          <w:sz w:val="24"/>
          <w:szCs w:val="24"/>
        </w:rPr>
        <w:t>clients should have access to their reports in the same way as records, unless there is a cogent reason in their interest or that of the public not to do so</w:t>
      </w:r>
    </w:p>
    <w:p w14:paraId="70AE0884" w14:textId="77777777" w:rsidR="00E42D8C" w:rsidRPr="00DD4F22" w:rsidRDefault="00E42D8C" w:rsidP="00E42D8C">
      <w:pPr>
        <w:pStyle w:val="ListParagraph"/>
        <w:rPr>
          <w:sz w:val="24"/>
          <w:szCs w:val="24"/>
        </w:rPr>
      </w:pPr>
    </w:p>
    <w:p w14:paraId="5F89AB49" w14:textId="77777777" w:rsidR="00E42D8C" w:rsidRDefault="00E42D8C" w:rsidP="00E42D8C">
      <w:pPr>
        <w:pStyle w:val="ListParagraph"/>
        <w:numPr>
          <w:ilvl w:val="0"/>
          <w:numId w:val="3"/>
        </w:numPr>
        <w:jc w:val="both"/>
        <w:rPr>
          <w:sz w:val="24"/>
          <w:szCs w:val="24"/>
        </w:rPr>
      </w:pPr>
      <w:r>
        <w:rPr>
          <w:sz w:val="24"/>
          <w:szCs w:val="24"/>
        </w:rPr>
        <w:t>Requirements to produce counselling records – Family courts dealing with child protection cases have different rules of evidence form other civil and criminal courts. They may order the production of documents including personal medical reports which would otherwise have been protected from disclosure</w:t>
      </w:r>
    </w:p>
    <w:p w14:paraId="3F7CE8C2" w14:textId="77777777" w:rsidR="00E42D8C" w:rsidRPr="00DD4F22" w:rsidRDefault="00E42D8C" w:rsidP="00E42D8C">
      <w:pPr>
        <w:pStyle w:val="ListParagraph"/>
        <w:rPr>
          <w:sz w:val="24"/>
          <w:szCs w:val="24"/>
        </w:rPr>
      </w:pPr>
    </w:p>
    <w:p w14:paraId="0E99BFAE" w14:textId="44CCCE17" w:rsidR="00667B33" w:rsidRDefault="00E42D8C" w:rsidP="00667B33">
      <w:pPr>
        <w:pStyle w:val="ListParagraph"/>
        <w:numPr>
          <w:ilvl w:val="0"/>
          <w:numId w:val="3"/>
        </w:numPr>
        <w:jc w:val="both"/>
        <w:rPr>
          <w:sz w:val="24"/>
          <w:szCs w:val="24"/>
        </w:rPr>
      </w:pPr>
      <w:r w:rsidRPr="00667B33">
        <w:rPr>
          <w:sz w:val="24"/>
          <w:szCs w:val="24"/>
        </w:rPr>
        <w:t xml:space="preserve">Child protection – A ‘child’ is defined as a person under the age of 18. The Children’s Act 1989 (CA 1989) in conjunction with subsequent legislation including the Children’s Act 2004, places a statutory duty on health, education and other services to co-operate with local authorities in child protection. There is a statutory duty to work together, including information sharing, in conducting initial investigations of children who may be in need or subject to abuse. Further information is available at </w:t>
      </w:r>
      <w:hyperlink r:id="rId10" w:anchor=":~:text=It%20sets%20out%20a%20framework%20for%20services%20that,suffer%20from%20ill%20health%2C%20or%20become%20teenage%20parents." w:history="1">
        <w:r w:rsidR="00667B33" w:rsidRPr="00667B33">
          <w:rPr>
            <w:rStyle w:val="Hyperlink"/>
            <w:sz w:val="24"/>
            <w:szCs w:val="24"/>
          </w:rPr>
          <w:t>Every Child Matters</w:t>
        </w:r>
      </w:hyperlink>
    </w:p>
    <w:p w14:paraId="45BE6EC0" w14:textId="77777777" w:rsidR="00542933" w:rsidRPr="00542933" w:rsidRDefault="00542933" w:rsidP="00542933">
      <w:pPr>
        <w:spacing w:after="0"/>
        <w:jc w:val="both"/>
        <w:rPr>
          <w:sz w:val="24"/>
          <w:szCs w:val="24"/>
        </w:rPr>
      </w:pPr>
    </w:p>
    <w:p w14:paraId="3FDE5976" w14:textId="704FF610" w:rsidR="006D4025" w:rsidRPr="00E42D8C" w:rsidRDefault="00E42D8C" w:rsidP="005C7BB8">
      <w:pPr>
        <w:pStyle w:val="ListParagraph"/>
        <w:numPr>
          <w:ilvl w:val="0"/>
          <w:numId w:val="3"/>
        </w:numPr>
        <w:jc w:val="both"/>
        <w:rPr>
          <w:sz w:val="24"/>
          <w:szCs w:val="24"/>
        </w:rPr>
      </w:pPr>
      <w:r>
        <w:rPr>
          <w:sz w:val="24"/>
          <w:szCs w:val="24"/>
        </w:rPr>
        <w:t>Clients at risk of suicide or serious self-harm – Responding appropriately to suicidal clients creates one of the most challenging situations encountered by Counsellors. As there is no general duty to rescue in British law, Counsellors need to be explicit about reserving the power to breach confidentiality for a suicidal adult client. To do so without explicit agreement may constitute an actionable breach of confidence</w:t>
      </w:r>
    </w:p>
    <w:sectPr w:rsidR="006D4025" w:rsidRPr="00E42D8C" w:rsidSect="008026E9">
      <w:pgSz w:w="11906" w:h="16838"/>
      <w:pgMar w:top="2127" w:right="1440" w:bottom="1440" w:left="1440" w:header="102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9D4C6" w14:textId="77777777" w:rsidR="0047770F" w:rsidRDefault="0047770F" w:rsidP="005C7BB8">
      <w:pPr>
        <w:spacing w:after="0" w:line="240" w:lineRule="auto"/>
      </w:pPr>
      <w:r>
        <w:separator/>
      </w:r>
    </w:p>
  </w:endnote>
  <w:endnote w:type="continuationSeparator" w:id="0">
    <w:p w14:paraId="20435313" w14:textId="77777777" w:rsidR="0047770F" w:rsidRDefault="0047770F" w:rsidP="005C7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guet Script">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3BCBF" w14:textId="77777777" w:rsidR="00047322" w:rsidRDefault="00047322" w:rsidP="00047322">
    <w:pPr>
      <w:pStyle w:val="Footer"/>
      <w:tabs>
        <w:tab w:val="clear" w:pos="4513"/>
        <w:tab w:val="clear" w:pos="9026"/>
      </w:tabs>
      <w:ind w:left="-709"/>
    </w:pPr>
    <w:r>
      <w:t xml:space="preserve">Email: </w:t>
    </w:r>
    <w:r>
      <w:tab/>
      <w:t xml:space="preserve">    </w:t>
    </w:r>
    <w:hyperlink r:id="rId1" w:history="1">
      <w:r w:rsidRPr="008E06F9">
        <w:rPr>
          <w:rStyle w:val="Hyperlink"/>
        </w:rPr>
        <w:t>freedom_counselling@outlook.com</w:t>
      </w:r>
    </w:hyperlink>
  </w:p>
  <w:p w14:paraId="716CCE97" w14:textId="77777777" w:rsidR="00047322" w:rsidRDefault="00047322" w:rsidP="00047322">
    <w:pPr>
      <w:pStyle w:val="Footer"/>
      <w:tabs>
        <w:tab w:val="clear" w:pos="4513"/>
        <w:tab w:val="clear" w:pos="9026"/>
      </w:tabs>
      <w:ind w:left="-709"/>
    </w:pPr>
    <w:r>
      <w:t>Mob:         07939 399872</w:t>
    </w:r>
  </w:p>
  <w:p w14:paraId="763E6393" w14:textId="7A6C9BC1" w:rsidR="00047322" w:rsidRDefault="00047322" w:rsidP="00047322">
    <w:pPr>
      <w:pStyle w:val="Footer"/>
      <w:tabs>
        <w:tab w:val="clear" w:pos="4513"/>
        <w:tab w:val="clear" w:pos="9026"/>
      </w:tabs>
      <w:ind w:left="-709"/>
    </w:pPr>
    <w:r>
      <w:t xml:space="preserve">Website: </w:t>
    </w:r>
    <w:r w:rsidR="00F34E49">
      <w:t>www.freedomcounselling.biz</w:t>
    </w:r>
    <w:r>
      <w:tab/>
    </w:r>
  </w:p>
  <w:p w14:paraId="541D6F55" w14:textId="77777777" w:rsidR="00047322" w:rsidRDefault="00047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E8376" w14:textId="68D4BAB9" w:rsidR="000520FC" w:rsidRPr="000520FC" w:rsidRDefault="000520FC" w:rsidP="000520FC">
    <w:pPr>
      <w:pStyle w:val="Footer"/>
      <w:ind w:left="-709"/>
    </w:pPr>
    <w:r w:rsidRPr="000520FC">
      <w:t xml:space="preserve">Email: </w:t>
    </w:r>
    <w:r>
      <w:t xml:space="preserve">     </w:t>
    </w:r>
    <w:r w:rsidR="00467546">
      <w:t xml:space="preserve"> </w:t>
    </w:r>
    <w:hyperlink r:id="rId1" w:history="1">
      <w:r w:rsidRPr="000520FC">
        <w:rPr>
          <w:rStyle w:val="Hyperlink"/>
        </w:rPr>
        <w:t>freedom_counselling@outlook.com</w:t>
      </w:r>
    </w:hyperlink>
  </w:p>
  <w:p w14:paraId="48D64937" w14:textId="77777777" w:rsidR="000520FC" w:rsidRPr="000520FC" w:rsidRDefault="000520FC" w:rsidP="000520FC">
    <w:pPr>
      <w:pStyle w:val="Footer"/>
      <w:ind w:left="-709"/>
    </w:pPr>
    <w:r w:rsidRPr="000520FC">
      <w:t>Mob:         07939 399872</w:t>
    </w:r>
  </w:p>
  <w:p w14:paraId="13662616" w14:textId="769DCE86" w:rsidR="0029066C" w:rsidRDefault="000520FC" w:rsidP="000520FC">
    <w:pPr>
      <w:pStyle w:val="Footer"/>
      <w:ind w:left="-709"/>
    </w:pPr>
    <w:r w:rsidRPr="000520FC">
      <w:t>Website:</w:t>
    </w:r>
    <w:r w:rsidR="00F34E49">
      <w:t xml:space="preserve"> </w:t>
    </w:r>
    <w:hyperlink r:id="rId2" w:history="1">
      <w:r w:rsidR="00B61588" w:rsidRPr="009F2EB2">
        <w:rPr>
          <w:rStyle w:val="Hyperlink"/>
        </w:rPr>
        <w:t>www.freedomcounselling.biz</w:t>
      </w:r>
    </w:hyperlink>
  </w:p>
  <w:p w14:paraId="2D0C473D" w14:textId="77777777" w:rsidR="00B61588" w:rsidRDefault="00B61588" w:rsidP="000520FC">
    <w:pPr>
      <w:pStyle w:val="Footer"/>
      <w:ind w:left="-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AA03C" w14:textId="77777777" w:rsidR="0047770F" w:rsidRDefault="0047770F" w:rsidP="005C7BB8">
      <w:pPr>
        <w:spacing w:after="0" w:line="240" w:lineRule="auto"/>
      </w:pPr>
      <w:r>
        <w:separator/>
      </w:r>
    </w:p>
  </w:footnote>
  <w:footnote w:type="continuationSeparator" w:id="0">
    <w:p w14:paraId="13A75E79" w14:textId="77777777" w:rsidR="0047770F" w:rsidRDefault="0047770F" w:rsidP="005C7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6ECBD" w14:textId="2E28E011" w:rsidR="005C7BB8" w:rsidRDefault="00F476E6" w:rsidP="00F10027">
    <w:pPr>
      <w:tabs>
        <w:tab w:val="num" w:pos="720"/>
      </w:tabs>
      <w:jc w:val="center"/>
    </w:pPr>
    <w:r>
      <w:rPr>
        <w:noProof/>
      </w:rPr>
      <mc:AlternateContent>
        <mc:Choice Requires="wpg">
          <w:drawing>
            <wp:anchor distT="0" distB="0" distL="114300" distR="114300" simplePos="0" relativeHeight="251661312" behindDoc="0" locked="0" layoutInCell="1" allowOverlap="1" wp14:anchorId="32D38EB8" wp14:editId="67308E22">
              <wp:simplePos x="0" y="0"/>
              <wp:positionH relativeFrom="margin">
                <wp:align>center</wp:align>
              </wp:positionH>
              <wp:positionV relativeFrom="paragraph">
                <wp:posOffset>-360680</wp:posOffset>
              </wp:positionV>
              <wp:extent cx="3632200" cy="825500"/>
              <wp:effectExtent l="0" t="0" r="0" b="0"/>
              <wp:wrapSquare wrapText="bothSides"/>
              <wp:docPr id="460703940" name="Group 3"/>
              <wp:cNvGraphicFramePr/>
              <a:graphic xmlns:a="http://schemas.openxmlformats.org/drawingml/2006/main">
                <a:graphicData uri="http://schemas.microsoft.com/office/word/2010/wordprocessingGroup">
                  <wpg:wgp>
                    <wpg:cNvGrpSpPr/>
                    <wpg:grpSpPr>
                      <a:xfrm>
                        <a:off x="0" y="0"/>
                        <a:ext cx="3632200" cy="825500"/>
                        <a:chOff x="0" y="0"/>
                        <a:chExt cx="3632200" cy="831850"/>
                      </a:xfrm>
                    </wpg:grpSpPr>
                    <wps:wsp>
                      <wps:cNvPr id="1946747161" name="Text Box 2"/>
                      <wps:cNvSpPr txBox="1">
                        <a:spLocks noChangeArrowheads="1"/>
                      </wps:cNvSpPr>
                      <wps:spPr bwMode="auto">
                        <a:xfrm>
                          <a:off x="0" y="228600"/>
                          <a:ext cx="3352800" cy="533400"/>
                        </a:xfrm>
                        <a:prstGeom prst="rect">
                          <a:avLst/>
                        </a:prstGeom>
                        <a:solidFill>
                          <a:srgbClr val="FFFFFF"/>
                        </a:solidFill>
                        <a:ln w="9525">
                          <a:noFill/>
                          <a:miter lim="800000"/>
                          <a:headEnd/>
                          <a:tailEnd/>
                        </a:ln>
                      </wps:spPr>
                      <wps:txbx>
                        <w:txbxContent>
                          <w:p w14:paraId="1D1F9886" w14:textId="061210F9" w:rsidR="00D26FE6" w:rsidRPr="00CF16DA" w:rsidRDefault="00D26FE6" w:rsidP="00C02EBC">
                            <w:pPr>
                              <w:jc w:val="center"/>
                              <w:rPr>
                                <w:rFonts w:ascii="Baguet Script" w:hAnsi="Baguet Script"/>
                                <w:sz w:val="32"/>
                                <w:szCs w:val="32"/>
                              </w:rPr>
                            </w:pPr>
                            <w:r w:rsidRPr="00405ABF">
                              <w:rPr>
                                <w:rFonts w:ascii="Baguet Script" w:hAnsi="Baguet Script"/>
                                <w:sz w:val="56"/>
                                <w:szCs w:val="56"/>
                              </w:rPr>
                              <w:t>Freedom Coun</w:t>
                            </w:r>
                            <w:r w:rsidR="00947912" w:rsidRPr="00405ABF">
                              <w:rPr>
                                <w:rFonts w:ascii="Baguet Script" w:hAnsi="Baguet Script"/>
                                <w:sz w:val="56"/>
                                <w:szCs w:val="56"/>
                              </w:rPr>
                              <w:t>s</w:t>
                            </w:r>
                            <w:r w:rsidRPr="00405ABF">
                              <w:rPr>
                                <w:rFonts w:ascii="Baguet Script" w:hAnsi="Baguet Script"/>
                                <w:sz w:val="56"/>
                                <w:szCs w:val="56"/>
                              </w:rPr>
                              <w:t>elling</w:t>
                            </w:r>
                            <w:r w:rsidR="00020B1A">
                              <w:rPr>
                                <w:rFonts w:ascii="Baguet Script" w:hAnsi="Baguet Script"/>
                                <w:sz w:val="56"/>
                                <w:szCs w:val="56"/>
                              </w:rPr>
                              <w:t xml:space="preserve"> </w:t>
                            </w:r>
                          </w:p>
                        </w:txbxContent>
                      </wps:txbx>
                      <wps:bodyPr rot="0" vert="horz" wrap="square" lIns="91440" tIns="45720" rIns="91440" bIns="45720" anchor="t" anchorCtr="0">
                        <a:noAutofit/>
                      </wps:bodyPr>
                    </wps:wsp>
                    <wps:wsp>
                      <wps:cNvPr id="1212818841" name="Text Box 2"/>
                      <wps:cNvSpPr txBox="1">
                        <a:spLocks noChangeArrowheads="1"/>
                      </wps:cNvSpPr>
                      <wps:spPr bwMode="auto">
                        <a:xfrm>
                          <a:off x="3149600" y="0"/>
                          <a:ext cx="482600" cy="831850"/>
                        </a:xfrm>
                        <a:prstGeom prst="rect">
                          <a:avLst/>
                        </a:prstGeom>
                        <a:noFill/>
                        <a:ln w="9525">
                          <a:noFill/>
                          <a:miter lim="800000"/>
                          <a:headEnd/>
                          <a:tailEnd/>
                        </a:ln>
                      </wps:spPr>
                      <wps:txbx>
                        <w:txbxContent>
                          <w:p w14:paraId="1EB6F1C8" w14:textId="12DD519D" w:rsidR="00D56529" w:rsidRDefault="00D56529">
                            <w:r>
                              <w:rPr>
                                <w:rFonts w:ascii="Baguet Script" w:hAnsi="Baguet Script"/>
                                <w:noProof/>
                                <w:sz w:val="32"/>
                                <w:szCs w:val="32"/>
                              </w:rPr>
                              <w:drawing>
                                <wp:inline distT="0" distB="0" distL="0" distR="0" wp14:anchorId="6BCF4C88" wp14:editId="0AB7E689">
                                  <wp:extent cx="273050" cy="710962"/>
                                  <wp:effectExtent l="0" t="0" r="0" b="0"/>
                                  <wp:docPr id="675255237" name="Picture 2" descr="A yellow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852146" name="Picture 2" descr="A yellow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1673" cy="733414"/>
                                          </a:xfrm>
                                          <a:prstGeom prst="rect">
                                            <a:avLst/>
                                          </a:prstGeom>
                                        </pic:spPr>
                                      </pic:pic>
                                    </a:graphicData>
                                  </a:graphic>
                                </wp:inline>
                              </w:drawing>
                            </w:r>
                          </w:p>
                          <w:p w14:paraId="013E5D0B" w14:textId="77777777" w:rsidR="00111402" w:rsidRDefault="00111402"/>
                          <w:p w14:paraId="79398178" w14:textId="77777777" w:rsidR="00111402" w:rsidRDefault="00111402"/>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32D38EB8" id="Group 3" o:spid="_x0000_s1026" style="position:absolute;left:0;text-align:left;margin-left:0;margin-top:-28.4pt;width:286pt;height:65pt;z-index:251661312;mso-position-horizontal:center;mso-position-horizontal-relative:margin;mso-height-relative:margin" coordsize="36322,8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">
              <v:shapetype id="_x0000_t202" coordsize="21600,21600" o:spt="202" path="m,l,21600r21600,l21600,xe">
                <v:stroke joinstyle="miter"/>
                <v:path gradientshapeok="t" o:connecttype="rect"/>
              </v:shapetype>
              <v:shape id="Text Box 2" o:spid="_x0000_s1027" type="#_x0000_t202" style="position:absolute;top:2286;width:33528;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" stroked="f">
                <v:textbox>
                  <w:txbxContent>
                    <w:p w14:paraId="1D1F9886" w14:textId="061210F9" w:rsidR="00D26FE6" w:rsidRPr="00CF16DA" w:rsidRDefault="00D26FE6" w:rsidP="00C02EBC">
                      <w:pPr>
                        <w:jc w:val="center"/>
                        <w:rPr>
                          <w:rFonts w:ascii="Baguet Script" w:hAnsi="Baguet Script"/>
                          <w:sz w:val="32"/>
                          <w:szCs w:val="32"/>
                        </w:rPr>
                      </w:pPr>
                      <w:r w:rsidRPr="00405ABF">
                        <w:rPr>
                          <w:rFonts w:ascii="Baguet Script" w:hAnsi="Baguet Script"/>
                          <w:sz w:val="56"/>
                          <w:szCs w:val="56"/>
                        </w:rPr>
                        <w:t>Freedom Coun</w:t>
                      </w:r>
                      <w:r w:rsidR="00947912" w:rsidRPr="00405ABF">
                        <w:rPr>
                          <w:rFonts w:ascii="Baguet Script" w:hAnsi="Baguet Script"/>
                          <w:sz w:val="56"/>
                          <w:szCs w:val="56"/>
                        </w:rPr>
                        <w:t>s</w:t>
                      </w:r>
                      <w:r w:rsidRPr="00405ABF">
                        <w:rPr>
                          <w:rFonts w:ascii="Baguet Script" w:hAnsi="Baguet Script"/>
                          <w:sz w:val="56"/>
                          <w:szCs w:val="56"/>
                        </w:rPr>
                        <w:t>elling</w:t>
                      </w:r>
                      <w:r w:rsidR="00020B1A">
                        <w:rPr>
                          <w:rFonts w:ascii="Baguet Script" w:hAnsi="Baguet Script"/>
                          <w:sz w:val="56"/>
                          <w:szCs w:val="56"/>
                        </w:rPr>
                        <w:t xml:space="preserve"> </w:t>
                      </w:r>
                    </w:p>
                  </w:txbxContent>
                </v:textbox>
              </v:shape>
              <v:shape id="Text Box 2" o:spid="_x0000_s1028" type="#_x0000_t202" style="position:absolute;left:31496;width:4826;height:8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" filled="f" stroked="f">
                <v:textbox>
                  <w:txbxContent>
                    <w:p w14:paraId="1EB6F1C8" w14:textId="12DD519D" w:rsidR="00D56529" w:rsidRDefault="00D56529">
                      <w:r>
                        <w:rPr>
                          <w:rFonts w:ascii="Baguet Script" w:hAnsi="Baguet Script"/>
                          <w:noProof/>
                          <w:sz w:val="32"/>
                          <w:szCs w:val="32"/>
                        </w:rPr>
                        <w:drawing>
                          <wp:inline distT="0" distB="0" distL="0" distR="0" wp14:anchorId="6BCF4C88" wp14:editId="0AB7E689">
                            <wp:extent cx="273050" cy="710962"/>
                            <wp:effectExtent l="0" t="0" r="0" b="0"/>
                            <wp:docPr id="675255237" name="Picture 2" descr="A yellow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852146" name="Picture 2" descr="A yellow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1673" cy="733414"/>
                                    </a:xfrm>
                                    <a:prstGeom prst="rect">
                                      <a:avLst/>
                                    </a:prstGeom>
                                  </pic:spPr>
                                </pic:pic>
                              </a:graphicData>
                            </a:graphic>
                          </wp:inline>
                        </w:drawing>
                      </w:r>
                    </w:p>
                    <w:p w14:paraId="013E5D0B" w14:textId="77777777" w:rsidR="00111402" w:rsidRDefault="00111402"/>
                    <w:p w14:paraId="79398178" w14:textId="77777777" w:rsidR="00111402" w:rsidRDefault="00111402"/>
                  </w:txbxContent>
                </v:textbox>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3B8785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5425260" o:spid="_x0000_i1025" type="#_x0000_t75" alt="A yellow and black logo&#10;&#10;Description automatically generated" style="width:25.5pt;height:66.5pt;visibility:visible;mso-wrap-style:square">
            <v:imagedata r:id="rId1" o:title="A yellow and black logo&#10;&#10;Description automatically generated"/>
          </v:shape>
        </w:pict>
      </mc:Choice>
      <mc:Fallback>
        <w:drawing>
          <wp:inline distT="0" distB="0" distL="0" distR="0" wp14:anchorId="349B0460" wp14:editId="349B0461">
            <wp:extent cx="323850" cy="844550"/>
            <wp:effectExtent l="0" t="0" r="0" b="0"/>
            <wp:docPr id="205425260" name="Picture 205425260" descr="A yellow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A yellow and black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3850" cy="844550"/>
                    </a:xfrm>
                    <a:prstGeom prst="rect">
                      <a:avLst/>
                    </a:prstGeom>
                    <a:noFill/>
                    <a:ln>
                      <a:noFill/>
                    </a:ln>
                  </pic:spPr>
                </pic:pic>
              </a:graphicData>
            </a:graphic>
          </wp:inline>
        </w:drawing>
      </mc:Fallback>
    </mc:AlternateContent>
  </w:numPicBullet>
  <w:abstractNum w:abstractNumId="0" w15:restartNumberingAfterBreak="0">
    <w:nsid w:val="1E142C7F"/>
    <w:multiLevelType w:val="hybridMultilevel"/>
    <w:tmpl w:val="FE8CF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8C13BD"/>
    <w:multiLevelType w:val="hybridMultilevel"/>
    <w:tmpl w:val="EC7CF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200727"/>
    <w:multiLevelType w:val="hybridMultilevel"/>
    <w:tmpl w:val="31481FD8"/>
    <w:lvl w:ilvl="0" w:tplc="2DB27970">
      <w:start w:val="1"/>
      <w:numFmt w:val="bullet"/>
      <w:lvlText w:val=""/>
      <w:lvlPicBulletId w:val="0"/>
      <w:lvlJc w:val="left"/>
      <w:pPr>
        <w:tabs>
          <w:tab w:val="num" w:pos="720"/>
        </w:tabs>
        <w:ind w:left="720" w:hanging="360"/>
      </w:pPr>
      <w:rPr>
        <w:rFonts w:ascii="Symbol" w:hAnsi="Symbol" w:hint="default"/>
      </w:rPr>
    </w:lvl>
    <w:lvl w:ilvl="1" w:tplc="220EF14C" w:tentative="1">
      <w:start w:val="1"/>
      <w:numFmt w:val="bullet"/>
      <w:lvlText w:val=""/>
      <w:lvlJc w:val="left"/>
      <w:pPr>
        <w:tabs>
          <w:tab w:val="num" w:pos="1440"/>
        </w:tabs>
        <w:ind w:left="1440" w:hanging="360"/>
      </w:pPr>
      <w:rPr>
        <w:rFonts w:ascii="Symbol" w:hAnsi="Symbol" w:hint="default"/>
      </w:rPr>
    </w:lvl>
    <w:lvl w:ilvl="2" w:tplc="7EA8683E" w:tentative="1">
      <w:start w:val="1"/>
      <w:numFmt w:val="bullet"/>
      <w:lvlText w:val=""/>
      <w:lvlJc w:val="left"/>
      <w:pPr>
        <w:tabs>
          <w:tab w:val="num" w:pos="2160"/>
        </w:tabs>
        <w:ind w:left="2160" w:hanging="360"/>
      </w:pPr>
      <w:rPr>
        <w:rFonts w:ascii="Symbol" w:hAnsi="Symbol" w:hint="default"/>
      </w:rPr>
    </w:lvl>
    <w:lvl w:ilvl="3" w:tplc="8EC0ED88" w:tentative="1">
      <w:start w:val="1"/>
      <w:numFmt w:val="bullet"/>
      <w:lvlText w:val=""/>
      <w:lvlJc w:val="left"/>
      <w:pPr>
        <w:tabs>
          <w:tab w:val="num" w:pos="2880"/>
        </w:tabs>
        <w:ind w:left="2880" w:hanging="360"/>
      </w:pPr>
      <w:rPr>
        <w:rFonts w:ascii="Symbol" w:hAnsi="Symbol" w:hint="default"/>
      </w:rPr>
    </w:lvl>
    <w:lvl w:ilvl="4" w:tplc="1B42F512" w:tentative="1">
      <w:start w:val="1"/>
      <w:numFmt w:val="bullet"/>
      <w:lvlText w:val=""/>
      <w:lvlJc w:val="left"/>
      <w:pPr>
        <w:tabs>
          <w:tab w:val="num" w:pos="3600"/>
        </w:tabs>
        <w:ind w:left="3600" w:hanging="360"/>
      </w:pPr>
      <w:rPr>
        <w:rFonts w:ascii="Symbol" w:hAnsi="Symbol" w:hint="default"/>
      </w:rPr>
    </w:lvl>
    <w:lvl w:ilvl="5" w:tplc="5A4ECC42" w:tentative="1">
      <w:start w:val="1"/>
      <w:numFmt w:val="bullet"/>
      <w:lvlText w:val=""/>
      <w:lvlJc w:val="left"/>
      <w:pPr>
        <w:tabs>
          <w:tab w:val="num" w:pos="4320"/>
        </w:tabs>
        <w:ind w:left="4320" w:hanging="360"/>
      </w:pPr>
      <w:rPr>
        <w:rFonts w:ascii="Symbol" w:hAnsi="Symbol" w:hint="default"/>
      </w:rPr>
    </w:lvl>
    <w:lvl w:ilvl="6" w:tplc="A8B484C4" w:tentative="1">
      <w:start w:val="1"/>
      <w:numFmt w:val="bullet"/>
      <w:lvlText w:val=""/>
      <w:lvlJc w:val="left"/>
      <w:pPr>
        <w:tabs>
          <w:tab w:val="num" w:pos="5040"/>
        </w:tabs>
        <w:ind w:left="5040" w:hanging="360"/>
      </w:pPr>
      <w:rPr>
        <w:rFonts w:ascii="Symbol" w:hAnsi="Symbol" w:hint="default"/>
      </w:rPr>
    </w:lvl>
    <w:lvl w:ilvl="7" w:tplc="E51264BA" w:tentative="1">
      <w:start w:val="1"/>
      <w:numFmt w:val="bullet"/>
      <w:lvlText w:val=""/>
      <w:lvlJc w:val="left"/>
      <w:pPr>
        <w:tabs>
          <w:tab w:val="num" w:pos="5760"/>
        </w:tabs>
        <w:ind w:left="5760" w:hanging="360"/>
      </w:pPr>
      <w:rPr>
        <w:rFonts w:ascii="Symbol" w:hAnsi="Symbol" w:hint="default"/>
      </w:rPr>
    </w:lvl>
    <w:lvl w:ilvl="8" w:tplc="CA28DBCC" w:tentative="1">
      <w:start w:val="1"/>
      <w:numFmt w:val="bullet"/>
      <w:lvlText w:val=""/>
      <w:lvlJc w:val="left"/>
      <w:pPr>
        <w:tabs>
          <w:tab w:val="num" w:pos="6480"/>
        </w:tabs>
        <w:ind w:left="6480" w:hanging="360"/>
      </w:pPr>
      <w:rPr>
        <w:rFonts w:ascii="Symbol" w:hAnsi="Symbol" w:hint="default"/>
      </w:rPr>
    </w:lvl>
  </w:abstractNum>
  <w:num w:numId="1" w16cid:durableId="1706364374">
    <w:abstractNumId w:val="2"/>
  </w:num>
  <w:num w:numId="2" w16cid:durableId="687565075">
    <w:abstractNumId w:val="1"/>
  </w:num>
  <w:num w:numId="3" w16cid:durableId="412168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BB8"/>
    <w:rsid w:val="000040AF"/>
    <w:rsid w:val="00020B1A"/>
    <w:rsid w:val="00035E88"/>
    <w:rsid w:val="00047322"/>
    <w:rsid w:val="000520FC"/>
    <w:rsid w:val="000630D6"/>
    <w:rsid w:val="00111402"/>
    <w:rsid w:val="00117A25"/>
    <w:rsid w:val="00142180"/>
    <w:rsid w:val="00142331"/>
    <w:rsid w:val="00145867"/>
    <w:rsid w:val="00170257"/>
    <w:rsid w:val="001B028F"/>
    <w:rsid w:val="002318F0"/>
    <w:rsid w:val="00240226"/>
    <w:rsid w:val="0029066C"/>
    <w:rsid w:val="00296239"/>
    <w:rsid w:val="00383062"/>
    <w:rsid w:val="003A5C16"/>
    <w:rsid w:val="003B713C"/>
    <w:rsid w:val="003E1F21"/>
    <w:rsid w:val="00405ABF"/>
    <w:rsid w:val="0042260D"/>
    <w:rsid w:val="0045143D"/>
    <w:rsid w:val="00454335"/>
    <w:rsid w:val="00455089"/>
    <w:rsid w:val="00467546"/>
    <w:rsid w:val="0047770F"/>
    <w:rsid w:val="004D39B2"/>
    <w:rsid w:val="0051409A"/>
    <w:rsid w:val="00542933"/>
    <w:rsid w:val="005C1A76"/>
    <w:rsid w:val="005C7BB8"/>
    <w:rsid w:val="00627CB4"/>
    <w:rsid w:val="00634E76"/>
    <w:rsid w:val="00637650"/>
    <w:rsid w:val="006473A3"/>
    <w:rsid w:val="00652A76"/>
    <w:rsid w:val="00667B33"/>
    <w:rsid w:val="00686ACF"/>
    <w:rsid w:val="00692C8F"/>
    <w:rsid w:val="006C381A"/>
    <w:rsid w:val="006D4025"/>
    <w:rsid w:val="007019F7"/>
    <w:rsid w:val="00797ED6"/>
    <w:rsid w:val="007B298A"/>
    <w:rsid w:val="007B6264"/>
    <w:rsid w:val="007C4B27"/>
    <w:rsid w:val="007F4656"/>
    <w:rsid w:val="008026E9"/>
    <w:rsid w:val="00944189"/>
    <w:rsid w:val="00947912"/>
    <w:rsid w:val="009B44DC"/>
    <w:rsid w:val="009C3423"/>
    <w:rsid w:val="009D5102"/>
    <w:rsid w:val="00A06A3E"/>
    <w:rsid w:val="00A43CB8"/>
    <w:rsid w:val="00A620EB"/>
    <w:rsid w:val="00AB414F"/>
    <w:rsid w:val="00B61588"/>
    <w:rsid w:val="00B8268C"/>
    <w:rsid w:val="00BB758D"/>
    <w:rsid w:val="00BF2336"/>
    <w:rsid w:val="00C02EBC"/>
    <w:rsid w:val="00C745AC"/>
    <w:rsid w:val="00CB5C47"/>
    <w:rsid w:val="00CD24AF"/>
    <w:rsid w:val="00CF16DA"/>
    <w:rsid w:val="00D26FE6"/>
    <w:rsid w:val="00D56529"/>
    <w:rsid w:val="00DB12AC"/>
    <w:rsid w:val="00DC2870"/>
    <w:rsid w:val="00DF3208"/>
    <w:rsid w:val="00E36BE2"/>
    <w:rsid w:val="00E42D8C"/>
    <w:rsid w:val="00EE2B76"/>
    <w:rsid w:val="00EE72AE"/>
    <w:rsid w:val="00F10027"/>
    <w:rsid w:val="00F17BB3"/>
    <w:rsid w:val="00F3297D"/>
    <w:rsid w:val="00F34E49"/>
    <w:rsid w:val="00F47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73EB3"/>
  <w15:chartTrackingRefBased/>
  <w15:docId w15:val="{47860DE0-F6C5-44F3-B64A-08002494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D8C"/>
  </w:style>
  <w:style w:type="paragraph" w:styleId="Heading1">
    <w:name w:val="heading 1"/>
    <w:basedOn w:val="Normal"/>
    <w:next w:val="Normal"/>
    <w:link w:val="Heading1Char"/>
    <w:uiPriority w:val="9"/>
    <w:qFormat/>
    <w:rsid w:val="005C7B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7B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7B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7B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7B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7B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7B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7B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7B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B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7B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7B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7B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7B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7B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7B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7B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7BB8"/>
    <w:rPr>
      <w:rFonts w:eastAsiaTheme="majorEastAsia" w:cstheme="majorBidi"/>
      <w:color w:val="272727" w:themeColor="text1" w:themeTint="D8"/>
    </w:rPr>
  </w:style>
  <w:style w:type="paragraph" w:styleId="Title">
    <w:name w:val="Title"/>
    <w:basedOn w:val="Normal"/>
    <w:next w:val="Normal"/>
    <w:link w:val="TitleChar"/>
    <w:uiPriority w:val="10"/>
    <w:qFormat/>
    <w:rsid w:val="005C7B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7B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7B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7B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7BB8"/>
    <w:pPr>
      <w:spacing w:before="160"/>
      <w:jc w:val="center"/>
    </w:pPr>
    <w:rPr>
      <w:i/>
      <w:iCs/>
      <w:color w:val="404040" w:themeColor="text1" w:themeTint="BF"/>
    </w:rPr>
  </w:style>
  <w:style w:type="character" w:customStyle="1" w:styleId="QuoteChar">
    <w:name w:val="Quote Char"/>
    <w:basedOn w:val="DefaultParagraphFont"/>
    <w:link w:val="Quote"/>
    <w:uiPriority w:val="29"/>
    <w:rsid w:val="005C7BB8"/>
    <w:rPr>
      <w:i/>
      <w:iCs/>
      <w:color w:val="404040" w:themeColor="text1" w:themeTint="BF"/>
    </w:rPr>
  </w:style>
  <w:style w:type="paragraph" w:styleId="ListParagraph">
    <w:name w:val="List Paragraph"/>
    <w:basedOn w:val="Normal"/>
    <w:uiPriority w:val="34"/>
    <w:qFormat/>
    <w:rsid w:val="005C7BB8"/>
    <w:pPr>
      <w:ind w:left="720"/>
      <w:contextualSpacing/>
    </w:pPr>
  </w:style>
  <w:style w:type="character" w:styleId="IntenseEmphasis">
    <w:name w:val="Intense Emphasis"/>
    <w:basedOn w:val="DefaultParagraphFont"/>
    <w:uiPriority w:val="21"/>
    <w:qFormat/>
    <w:rsid w:val="005C7BB8"/>
    <w:rPr>
      <w:i/>
      <w:iCs/>
      <w:color w:val="0F4761" w:themeColor="accent1" w:themeShade="BF"/>
    </w:rPr>
  </w:style>
  <w:style w:type="paragraph" w:styleId="IntenseQuote">
    <w:name w:val="Intense Quote"/>
    <w:basedOn w:val="Normal"/>
    <w:next w:val="Normal"/>
    <w:link w:val="IntenseQuoteChar"/>
    <w:uiPriority w:val="30"/>
    <w:qFormat/>
    <w:rsid w:val="005C7B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7BB8"/>
    <w:rPr>
      <w:i/>
      <w:iCs/>
      <w:color w:val="0F4761" w:themeColor="accent1" w:themeShade="BF"/>
    </w:rPr>
  </w:style>
  <w:style w:type="character" w:styleId="IntenseReference">
    <w:name w:val="Intense Reference"/>
    <w:basedOn w:val="DefaultParagraphFont"/>
    <w:uiPriority w:val="32"/>
    <w:qFormat/>
    <w:rsid w:val="005C7BB8"/>
    <w:rPr>
      <w:b/>
      <w:bCs/>
      <w:smallCaps/>
      <w:color w:val="0F4761" w:themeColor="accent1" w:themeShade="BF"/>
      <w:spacing w:val="5"/>
    </w:rPr>
  </w:style>
  <w:style w:type="paragraph" w:styleId="Header">
    <w:name w:val="header"/>
    <w:basedOn w:val="Normal"/>
    <w:link w:val="HeaderChar"/>
    <w:uiPriority w:val="99"/>
    <w:unhideWhenUsed/>
    <w:rsid w:val="005C7B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BB8"/>
  </w:style>
  <w:style w:type="paragraph" w:styleId="Footer">
    <w:name w:val="footer"/>
    <w:basedOn w:val="Normal"/>
    <w:link w:val="FooterChar"/>
    <w:uiPriority w:val="99"/>
    <w:unhideWhenUsed/>
    <w:rsid w:val="005C7B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BB8"/>
  </w:style>
  <w:style w:type="paragraph" w:styleId="NoSpacing">
    <w:name w:val="No Spacing"/>
    <w:link w:val="NoSpacingChar"/>
    <w:uiPriority w:val="1"/>
    <w:qFormat/>
    <w:rsid w:val="003B713C"/>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3B713C"/>
    <w:rPr>
      <w:rFonts w:eastAsiaTheme="minorEastAsia"/>
      <w:kern w:val="0"/>
      <w:lang w:val="en-US"/>
      <w14:ligatures w14:val="none"/>
    </w:rPr>
  </w:style>
  <w:style w:type="character" w:styleId="Hyperlink">
    <w:name w:val="Hyperlink"/>
    <w:basedOn w:val="DefaultParagraphFont"/>
    <w:uiPriority w:val="99"/>
    <w:unhideWhenUsed/>
    <w:rsid w:val="00047322"/>
    <w:rPr>
      <w:color w:val="467886" w:themeColor="hyperlink"/>
      <w:u w:val="single"/>
    </w:rPr>
  </w:style>
  <w:style w:type="character" w:styleId="UnresolvedMention">
    <w:name w:val="Unresolved Mention"/>
    <w:basedOn w:val="DefaultParagraphFont"/>
    <w:uiPriority w:val="99"/>
    <w:semiHidden/>
    <w:unhideWhenUsed/>
    <w:rsid w:val="000520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assets.publishing.service.gov.uk/government/uploads/system/uploads/attachment_data/file/272064/5860.pdf" TargetMode="Externa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freedom_counselling@outlook.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reedomcounselling.biz" TargetMode="External"/><Relationship Id="rId1" Type="http://schemas.openxmlformats.org/officeDocument/2006/relationships/hyperlink" Target="mailto:freedom_counselling@outloo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Allen</dc:creator>
  <cp:keywords/>
  <dc:description/>
  <cp:lastModifiedBy>Kathy Allen</cp:lastModifiedBy>
  <cp:revision>22</cp:revision>
  <dcterms:created xsi:type="dcterms:W3CDTF">2024-11-08T15:02:00Z</dcterms:created>
  <dcterms:modified xsi:type="dcterms:W3CDTF">2025-03-24T14:48:00Z</dcterms:modified>
</cp:coreProperties>
</file>